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45" w:rsidRPr="00107845" w:rsidRDefault="00107845" w:rsidP="00107845">
      <w:pPr>
        <w:spacing w:after="0" w:line="240" w:lineRule="atLeast"/>
        <w:jc w:val="center"/>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TAŞINMAZ SATILACAKTIR</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b/>
          <w:bCs/>
          <w:color w:val="0000FF"/>
          <w:sz w:val="18"/>
          <w:szCs w:val="18"/>
          <w:lang w:eastAsia="tr-TR"/>
        </w:rPr>
        <w:t>Sakarya Defterdarlığından:</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TABLO I</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445"/>
        <w:gridCol w:w="1199"/>
        <w:gridCol w:w="1649"/>
        <w:gridCol w:w="595"/>
        <w:gridCol w:w="1199"/>
        <w:gridCol w:w="595"/>
        <w:gridCol w:w="595"/>
        <w:gridCol w:w="1046"/>
        <w:gridCol w:w="1011"/>
        <w:gridCol w:w="1349"/>
        <w:gridCol w:w="895"/>
        <w:gridCol w:w="1350"/>
        <w:gridCol w:w="1047"/>
        <w:gridCol w:w="1200"/>
      </w:tblGrid>
      <w:tr w:rsidR="00107845" w:rsidRPr="00107845" w:rsidTr="00107845">
        <w:trPr>
          <w:trHeight w:val="20"/>
        </w:trPr>
        <w:tc>
          <w:tcPr>
            <w:tcW w:w="150" w:type="pct"/>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Sıra</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No</w:t>
            </w:r>
          </w:p>
        </w:tc>
        <w:tc>
          <w:tcPr>
            <w:tcW w:w="400" w:type="pct"/>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Taşınmaz No</w:t>
            </w:r>
          </w:p>
        </w:tc>
        <w:tc>
          <w:tcPr>
            <w:tcW w:w="550" w:type="pct"/>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İlçe - Belde</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Mahalle - Köy</w:t>
            </w:r>
          </w:p>
        </w:tc>
        <w:tc>
          <w:tcPr>
            <w:tcW w:w="200" w:type="pct"/>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Cinsi</w:t>
            </w:r>
          </w:p>
        </w:tc>
        <w:tc>
          <w:tcPr>
            <w:tcW w:w="400" w:type="pct"/>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Pafta</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No</w:t>
            </w:r>
          </w:p>
        </w:tc>
        <w:tc>
          <w:tcPr>
            <w:tcW w:w="200" w:type="pct"/>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Ada</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No</w:t>
            </w:r>
          </w:p>
        </w:tc>
        <w:tc>
          <w:tcPr>
            <w:tcW w:w="200" w:type="pct"/>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Parsel</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No</w:t>
            </w:r>
          </w:p>
        </w:tc>
        <w:tc>
          <w:tcPr>
            <w:tcW w:w="350" w:type="pct"/>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Yüzölçümü</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(m²)</w:t>
            </w:r>
          </w:p>
        </w:tc>
        <w:tc>
          <w:tcPr>
            <w:tcW w:w="300" w:type="pct"/>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Hazine Hisse</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Oranı</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Hazine Yüzölçümü (m²)</w:t>
            </w:r>
          </w:p>
        </w:tc>
        <w:tc>
          <w:tcPr>
            <w:tcW w:w="300" w:type="pct"/>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İmar</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Durumu</w:t>
            </w:r>
          </w:p>
        </w:tc>
        <w:tc>
          <w:tcPr>
            <w:tcW w:w="450" w:type="pct"/>
            <w:tcBorders>
              <w:top w:val="single" w:sz="8" w:space="0" w:color="auto"/>
              <w:left w:val="nil"/>
              <w:bottom w:val="single" w:sz="8" w:space="0" w:color="auto"/>
              <w:right w:val="nil"/>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Tahmini</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Satış Bedeli (TL)</w:t>
            </w:r>
          </w:p>
        </w:tc>
        <w:tc>
          <w:tcPr>
            <w:tcW w:w="350" w:type="pct"/>
            <w:tcBorders>
              <w:top w:val="single" w:sz="8" w:space="0" w:color="auto"/>
              <w:left w:val="single" w:sz="8" w:space="0" w:color="auto"/>
              <w:bottom w:val="single" w:sz="8" w:space="0" w:color="auto"/>
              <w:right w:val="nil"/>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Geçici</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Teminat (TL)</w:t>
            </w:r>
          </w:p>
        </w:tc>
        <w:tc>
          <w:tcPr>
            <w:tcW w:w="400" w:type="pct"/>
            <w:tcBorders>
              <w:top w:val="single" w:sz="8" w:space="0" w:color="auto"/>
              <w:left w:val="single" w:sz="8" w:space="0" w:color="auto"/>
              <w:bottom w:val="single" w:sz="8" w:space="0" w:color="auto"/>
              <w:right w:val="single" w:sz="8" w:space="0" w:color="000000"/>
            </w:tcBorders>
            <w:noWrap/>
            <w:tcMar>
              <w:top w:w="0" w:type="dxa"/>
              <w:left w:w="28" w:type="dxa"/>
              <w:bottom w:w="0" w:type="dxa"/>
              <w:right w:w="28" w:type="dxa"/>
            </w:tcMar>
            <w:vAlign w:val="bottom"/>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İhale Tarihi</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proofErr w:type="gramStart"/>
            <w:r w:rsidRPr="00107845">
              <w:rPr>
                <w:rFonts w:ascii="Times New Roman" w:eastAsia="Times New Roman" w:hAnsi="Times New Roman" w:cs="Times New Roman"/>
                <w:sz w:val="18"/>
                <w:szCs w:val="18"/>
                <w:lang w:eastAsia="tr-TR"/>
              </w:rPr>
              <w:t>ve</w:t>
            </w:r>
            <w:proofErr w:type="gramEnd"/>
            <w:r w:rsidRPr="00107845">
              <w:rPr>
                <w:rFonts w:ascii="Times New Roman" w:eastAsia="Times New Roman" w:hAnsi="Times New Roman" w:cs="Times New Roman"/>
                <w:sz w:val="18"/>
                <w:szCs w:val="18"/>
                <w:lang w:eastAsia="tr-TR"/>
              </w:rPr>
              <w:t> Saati</w:t>
            </w:r>
          </w:p>
        </w:tc>
      </w:tr>
      <w:tr w:rsidR="00107845" w:rsidRPr="00107845" w:rsidTr="00107845">
        <w:trPr>
          <w:trHeight w:val="20"/>
        </w:trPr>
        <w:tc>
          <w:tcPr>
            <w:tcW w:w="150"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14</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proofErr w:type="gramStart"/>
            <w:r w:rsidRPr="00107845">
              <w:rPr>
                <w:rFonts w:ascii="Times New Roman" w:eastAsia="Times New Roman" w:hAnsi="Times New Roman" w:cs="Times New Roman"/>
                <w:sz w:val="18"/>
                <w:szCs w:val="18"/>
                <w:lang w:eastAsia="tr-TR"/>
              </w:rPr>
              <w:t>54140115488</w:t>
            </w:r>
            <w:proofErr w:type="gramEnd"/>
          </w:p>
        </w:tc>
        <w:tc>
          <w:tcPr>
            <w:tcW w:w="55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proofErr w:type="spellStart"/>
            <w:r w:rsidRPr="00107845">
              <w:rPr>
                <w:rFonts w:ascii="Times New Roman" w:eastAsia="Times New Roman" w:hAnsi="Times New Roman" w:cs="Times New Roman"/>
                <w:sz w:val="18"/>
                <w:szCs w:val="18"/>
                <w:lang w:eastAsia="tr-TR"/>
              </w:rPr>
              <w:t>Arifiye</w:t>
            </w:r>
            <w:proofErr w:type="spellEnd"/>
            <w:r w:rsidRPr="00107845">
              <w:rPr>
                <w:rFonts w:ascii="Times New Roman" w:eastAsia="Times New Roman" w:hAnsi="Times New Roman" w:cs="Times New Roman"/>
                <w:sz w:val="18"/>
                <w:szCs w:val="18"/>
                <w:lang w:eastAsia="tr-TR"/>
              </w:rPr>
              <w:t> - </w:t>
            </w:r>
            <w:proofErr w:type="spellStart"/>
            <w:r w:rsidRPr="00107845">
              <w:rPr>
                <w:rFonts w:ascii="Times New Roman" w:eastAsia="Times New Roman" w:hAnsi="Times New Roman" w:cs="Times New Roman"/>
                <w:sz w:val="18"/>
                <w:szCs w:val="18"/>
                <w:lang w:eastAsia="tr-TR"/>
              </w:rPr>
              <w:t>Karaabdiler</w:t>
            </w:r>
            <w:proofErr w:type="spellEnd"/>
          </w:p>
        </w:tc>
        <w:tc>
          <w:tcPr>
            <w:tcW w:w="2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Arsa</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G24C03C3C</w:t>
            </w:r>
          </w:p>
        </w:tc>
        <w:tc>
          <w:tcPr>
            <w:tcW w:w="2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592</w:t>
            </w:r>
          </w:p>
        </w:tc>
        <w:tc>
          <w:tcPr>
            <w:tcW w:w="2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6.239,31</w:t>
            </w:r>
          </w:p>
        </w:tc>
        <w:tc>
          <w:tcPr>
            <w:tcW w:w="3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Tam</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6.239,31</w:t>
            </w:r>
          </w:p>
        </w:tc>
        <w:tc>
          <w:tcPr>
            <w:tcW w:w="3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KDKÇA</w:t>
            </w:r>
          </w:p>
        </w:tc>
        <w:tc>
          <w:tcPr>
            <w:tcW w:w="450" w:type="pct"/>
            <w:tcBorders>
              <w:top w:val="nil"/>
              <w:left w:val="nil"/>
              <w:bottom w:val="single" w:sz="8" w:space="0" w:color="auto"/>
              <w:right w:val="nil"/>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2.914,000,00</w:t>
            </w:r>
          </w:p>
        </w:tc>
        <w:tc>
          <w:tcPr>
            <w:tcW w:w="350" w:type="pct"/>
            <w:tcBorders>
              <w:top w:val="nil"/>
              <w:left w:val="single" w:sz="8" w:space="0" w:color="auto"/>
              <w:bottom w:val="single" w:sz="8" w:space="0" w:color="auto"/>
              <w:right w:val="nil"/>
            </w:tcBorders>
            <w:noWrap/>
            <w:tcMar>
              <w:top w:w="0" w:type="dxa"/>
              <w:left w:w="28" w:type="dxa"/>
              <w:bottom w:w="0" w:type="dxa"/>
              <w:right w:w="28" w:type="dxa"/>
            </w:tcMar>
            <w:vAlign w:val="center"/>
            <w:hideMark/>
          </w:tcPr>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291.400,00</w:t>
            </w:r>
          </w:p>
        </w:tc>
        <w:tc>
          <w:tcPr>
            <w:tcW w:w="400" w:type="pct"/>
            <w:tcBorders>
              <w:top w:val="nil"/>
              <w:left w:val="single" w:sz="8" w:space="0" w:color="auto"/>
              <w:bottom w:val="single" w:sz="8" w:space="0" w:color="auto"/>
              <w:right w:val="single" w:sz="8" w:space="0" w:color="000000"/>
            </w:tcBorders>
            <w:noWrap/>
            <w:tcMar>
              <w:top w:w="0" w:type="dxa"/>
              <w:left w:w="28" w:type="dxa"/>
              <w:bottom w:w="0" w:type="dxa"/>
              <w:right w:w="28" w:type="dxa"/>
            </w:tcMar>
            <w:vAlign w:val="center"/>
            <w:hideMark/>
          </w:tcPr>
          <w:p w:rsidR="00107845" w:rsidRPr="00107845" w:rsidRDefault="00107845" w:rsidP="00107845">
            <w:pPr>
              <w:spacing w:after="0" w:line="24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28.03.2018</w:t>
            </w:r>
          </w:p>
          <w:p w:rsidR="00107845" w:rsidRPr="00107845" w:rsidRDefault="00107845" w:rsidP="00107845">
            <w:pPr>
              <w:spacing w:after="0" w:line="20" w:lineRule="atLeast"/>
              <w:jc w:val="center"/>
              <w:rPr>
                <w:rFonts w:ascii="Times New Roman" w:eastAsia="Times New Roman" w:hAnsi="Times New Roman" w:cs="Times New Roman"/>
                <w:sz w:val="20"/>
                <w:szCs w:val="20"/>
                <w:lang w:eastAsia="tr-TR"/>
              </w:rPr>
            </w:pPr>
            <w:r w:rsidRPr="00107845">
              <w:rPr>
                <w:rFonts w:ascii="Times New Roman" w:eastAsia="Times New Roman" w:hAnsi="Times New Roman" w:cs="Times New Roman"/>
                <w:sz w:val="18"/>
                <w:szCs w:val="18"/>
                <w:lang w:eastAsia="tr-TR"/>
              </w:rPr>
              <w:t>14.00</w:t>
            </w:r>
          </w:p>
        </w:tc>
      </w:tr>
    </w:tbl>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 </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1 - TABLO I de belirtilen 1 adet taşınmazın satışı 2886 sayılı Devlet İhale Kanunun 45. maddesine göre Açık Teklif Usulü ile belirtilen tahmini bedel üzerinden, karşısında yazılı tarih ve saatte, Defterdarlık Milli Emlak Müdürlüğünde toplanacak komisyon tarafından yapılacaktır.</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2 - İhaleye iştirak etmek isteyenlerin; geçici teminatı yatırmaları</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1) Tedavüldeki Türk Parası</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2) Mevduat ve katılım bankalarının verecekleri süresiz teminat mektupları</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3) Hazine Müsteşarlığınca ihraç edilen Devlet İç Borçlanma Senetleri veya bu senetler yerine düzenlenen belgeler,</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4) Yalnızca taşınmaz malların satışında, dışarıda yerleşik kişiler ile geçimini yurt dışında temin eden Türk vatandaşlarından, teminat olarak Türkiye Cumhuriyeti Merkez Bankasınca belirlenen </w:t>
      </w:r>
      <w:proofErr w:type="gramStart"/>
      <w:r w:rsidRPr="00107845">
        <w:rPr>
          <w:rFonts w:ascii="Times New Roman" w:eastAsia="Times New Roman" w:hAnsi="Times New Roman" w:cs="Times New Roman"/>
          <w:color w:val="000000"/>
          <w:sz w:val="18"/>
          <w:szCs w:val="18"/>
          <w:lang w:eastAsia="tr-TR"/>
        </w:rPr>
        <w:t>konvertibl</w:t>
      </w:r>
      <w:proofErr w:type="gramEnd"/>
      <w:r w:rsidRPr="00107845">
        <w:rPr>
          <w:rFonts w:ascii="Times New Roman" w:eastAsia="Times New Roman" w:hAnsi="Times New Roman" w:cs="Times New Roman"/>
          <w:color w:val="000000"/>
          <w:sz w:val="18"/>
          <w:szCs w:val="18"/>
          <w:lang w:eastAsia="tr-TR"/>
        </w:rPr>
        <w:t> döviz, yasal yerleşim yeri belgesini (ikametgah senedi), tebligat için Türkiye'de adres gösterir belgeyi, gerçek kişilerin T.C. kimlik numarasını (Nüfus cüzdanı örneği), tüzel kişilerin ise vergi kimlik numarasını, özel hukuk tüzel kişilerinin, yukarıda belirtilen şartlardan ayrı olarak,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kişiliğe temsile tam yetkili olduklarını gösterir noterlikçe tasdik edilmiş imza sirkülerini veya vekaletnameyi vermeleri; kamu tüzel kişilerinin ise, belirtilen belgelerden ayrı olarak tüzel kişilik adına ihaleye katılacak veya teklifte bulunacak kişilerin tüzel kişiliği temsile yetkili olduğunu belirtir belgeyi ihale saatine kadar komisyon başkanlığına vermeleri şarttır.</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3 - İhale şartnamesi ve ekleri mesai saatleri </w:t>
      </w:r>
      <w:proofErr w:type="gramStart"/>
      <w:r w:rsidRPr="00107845">
        <w:rPr>
          <w:rFonts w:ascii="Times New Roman" w:eastAsia="Times New Roman" w:hAnsi="Times New Roman" w:cs="Times New Roman"/>
          <w:color w:val="000000"/>
          <w:sz w:val="18"/>
          <w:szCs w:val="18"/>
          <w:lang w:eastAsia="tr-TR"/>
        </w:rPr>
        <w:t>dahilinde</w:t>
      </w:r>
      <w:proofErr w:type="gramEnd"/>
      <w:r w:rsidRPr="00107845">
        <w:rPr>
          <w:rFonts w:ascii="Times New Roman" w:eastAsia="Times New Roman" w:hAnsi="Times New Roman" w:cs="Times New Roman"/>
          <w:color w:val="000000"/>
          <w:sz w:val="18"/>
          <w:szCs w:val="18"/>
          <w:lang w:eastAsia="tr-TR"/>
        </w:rPr>
        <w:t> Sakarya Defterdarlığı Milli Emlak Müdürlüğü servislerinde bedelsiz olarak görülebilir.</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4 - Ayrıca, ortak katılım halinde aralarında düzenleyecekleri Ortak Girişim Beyannamesini, ihale saatine kadar komisyon başkanlığına vermeleri gerekmektedir.</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5 - İhale saatine kadar komisyon başkanlığına ulaşmış olmak şartıyla düzenlenecek teklifler iadeli taahhütlü bir mektupla gönderilebilir. Postada meydana gelebilecek gecikmeler kabul edilmeyecektir.</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6 - Komisyon ihaleyi yapıp yapmamakta serbesttir.</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7 - Satılacak taşınmazdan KDV, vergi, resim ve harç alınmayacak olup, ayrıca satılan taşınmaz satış tarihini takip eden yıldan itibaren 5 yıl süre ile emlak vergisinden muaftır.</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pacing w:val="2"/>
          <w:sz w:val="18"/>
          <w:szCs w:val="18"/>
          <w:lang w:eastAsia="tr-TR"/>
        </w:rPr>
        <w:t>8 - İhale ilanı; www.sakaryadefterdarligi.gov.tr, Türkiye Genelindeki ihale bilgileri ise; www.milliemlak.gov.tr web sayfalarından öğrenilebilir</w:t>
      </w:r>
      <w:r w:rsidRPr="00107845">
        <w:rPr>
          <w:rFonts w:ascii="Times New Roman" w:eastAsia="Times New Roman" w:hAnsi="Times New Roman" w:cs="Times New Roman"/>
          <w:color w:val="000000"/>
          <w:sz w:val="18"/>
          <w:szCs w:val="18"/>
          <w:lang w:eastAsia="tr-TR"/>
        </w:rPr>
        <w:t>. Tel: 0 (264) 251 35 88</w:t>
      </w:r>
    </w:p>
    <w:p w:rsidR="00107845" w:rsidRPr="00107845" w:rsidRDefault="00107845" w:rsidP="00107845">
      <w:pPr>
        <w:spacing w:after="0" w:line="240" w:lineRule="atLeast"/>
        <w:ind w:firstLine="567"/>
        <w:jc w:val="both"/>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İlan olunur.</w:t>
      </w:r>
    </w:p>
    <w:p w:rsidR="00107845" w:rsidRPr="00107845" w:rsidRDefault="00107845" w:rsidP="00107845">
      <w:pPr>
        <w:spacing w:after="0" w:line="240" w:lineRule="atLeast"/>
        <w:ind w:firstLine="567"/>
        <w:jc w:val="right"/>
        <w:rPr>
          <w:rFonts w:ascii="Times New Roman" w:eastAsia="Times New Roman" w:hAnsi="Times New Roman" w:cs="Times New Roman"/>
          <w:color w:val="000000"/>
          <w:sz w:val="20"/>
          <w:szCs w:val="20"/>
          <w:lang w:eastAsia="tr-TR"/>
        </w:rPr>
      </w:pPr>
      <w:r w:rsidRPr="00107845">
        <w:rPr>
          <w:rFonts w:ascii="Times New Roman" w:eastAsia="Times New Roman" w:hAnsi="Times New Roman" w:cs="Times New Roman"/>
          <w:color w:val="000000"/>
          <w:sz w:val="18"/>
          <w:szCs w:val="18"/>
          <w:lang w:eastAsia="tr-TR"/>
        </w:rPr>
        <w:t>2115/1-1</w:t>
      </w:r>
    </w:p>
    <w:p w:rsidR="00107845" w:rsidRPr="00107845" w:rsidRDefault="00107845" w:rsidP="00107845">
      <w:pPr>
        <w:spacing w:after="0" w:line="240" w:lineRule="atLeast"/>
        <w:rPr>
          <w:rFonts w:ascii="Times New Roman" w:eastAsia="Times New Roman" w:hAnsi="Times New Roman" w:cs="Times New Roman"/>
          <w:color w:val="000000"/>
          <w:sz w:val="27"/>
          <w:szCs w:val="27"/>
          <w:lang w:eastAsia="tr-TR"/>
        </w:rPr>
      </w:pPr>
      <w:hyperlink r:id="rId5" w:anchor="_top" w:history="1">
        <w:r w:rsidRPr="00107845">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10784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45"/>
    <w:rsid w:val="00107845"/>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07845"/>
  </w:style>
  <w:style w:type="character" w:customStyle="1" w:styleId="spelle">
    <w:name w:val="spelle"/>
    <w:basedOn w:val="VarsaylanParagrafYazTipi"/>
    <w:rsid w:val="00107845"/>
  </w:style>
  <w:style w:type="paragraph" w:styleId="NormalWeb">
    <w:name w:val="Normal (Web)"/>
    <w:basedOn w:val="Normal"/>
    <w:uiPriority w:val="99"/>
    <w:semiHidden/>
    <w:unhideWhenUsed/>
    <w:rsid w:val="001078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7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07845"/>
  </w:style>
  <w:style w:type="character" w:customStyle="1" w:styleId="spelle">
    <w:name w:val="spelle"/>
    <w:basedOn w:val="VarsaylanParagrafYazTipi"/>
    <w:rsid w:val="00107845"/>
  </w:style>
  <w:style w:type="paragraph" w:styleId="NormalWeb">
    <w:name w:val="Normal (Web)"/>
    <w:basedOn w:val="Normal"/>
    <w:uiPriority w:val="99"/>
    <w:semiHidden/>
    <w:unhideWhenUsed/>
    <w:rsid w:val="001078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2018-03-14T09:23:00Z</dcterms:created>
  <dcterms:modified xsi:type="dcterms:W3CDTF">2018-03-14T09:24:00Z</dcterms:modified>
</cp:coreProperties>
</file>